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contextualSpacing/>
        <w:keepNext/>
      </w:pPr>
      <w:r/>
      <w:r/>
    </w:p>
    <w:p>
      <w:pPr>
        <w:pStyle w:val="730"/>
        <w:contextualSpacing/>
        <w:keepNext/>
        <w:rPr>
          <w:szCs w:val="24"/>
        </w:rPr>
      </w:pPr>
      <w:r>
        <w:rPr>
          <w:szCs w:val="24"/>
        </w:rPr>
        <w:t xml:space="preserve">Информация о реализации</w:t>
      </w:r>
      <w:r>
        <w:rPr>
          <w:szCs w:val="24"/>
        </w:rPr>
        <w:t xml:space="preserve"> м</w:t>
      </w:r>
      <w:r>
        <w:rPr>
          <w:szCs w:val="24"/>
        </w:rPr>
        <w:t xml:space="preserve">ежведомственн</w:t>
      </w:r>
      <w:r>
        <w:rPr>
          <w:szCs w:val="24"/>
        </w:rPr>
        <w:t xml:space="preserve">ого</w:t>
      </w:r>
      <w:r>
        <w:rPr>
          <w:szCs w:val="24"/>
        </w:rPr>
        <w:t xml:space="preserve"> план</w:t>
      </w:r>
      <w:r>
        <w:rPr>
          <w:szCs w:val="24"/>
        </w:rPr>
        <w:t xml:space="preserve">а</w:t>
      </w:r>
      <w:r>
        <w:rPr>
          <w:szCs w:val="24"/>
        </w:rPr>
        <w:t xml:space="preserve"> мероприятий </w:t>
      </w:r>
      <w:r>
        <w:rPr>
          <w:szCs w:val="24"/>
        </w:rPr>
        <w:t xml:space="preserve">(«дорожн</w:t>
      </w:r>
      <w:r>
        <w:rPr>
          <w:szCs w:val="24"/>
        </w:rPr>
        <w:t xml:space="preserve">ой</w:t>
      </w:r>
      <w:r>
        <w:rPr>
          <w:szCs w:val="24"/>
        </w:rPr>
        <w:t xml:space="preserve"> карт</w:t>
      </w:r>
      <w:r>
        <w:rPr>
          <w:szCs w:val="24"/>
        </w:rPr>
        <w:t xml:space="preserve">ы</w:t>
      </w:r>
      <w:r>
        <w:rPr>
          <w:szCs w:val="24"/>
        </w:rPr>
        <w:t xml:space="preserve">») </w:t>
      </w:r>
      <w:r>
        <w:rPr>
          <w:szCs w:val="24"/>
        </w:rPr>
      </w:r>
      <w:r/>
    </w:p>
    <w:p>
      <w:pPr>
        <w:pStyle w:val="730"/>
        <w:contextualSpacing/>
        <w:keepNext/>
        <w:rPr>
          <w:szCs w:val="24"/>
        </w:rPr>
      </w:pPr>
      <w:r>
        <w:rPr>
          <w:szCs w:val="24"/>
        </w:rPr>
        <w:t xml:space="preserve">по содействию трудоустройству выпускников образовательных организаций высшего </w:t>
      </w:r>
      <w:r>
        <w:rPr>
          <w:szCs w:val="24"/>
        </w:rPr>
      </w:r>
      <w:r/>
    </w:p>
    <w:p>
      <w:pPr>
        <w:pStyle w:val="730"/>
        <w:contextualSpacing/>
        <w:keepNext/>
        <w:rPr>
          <w:szCs w:val="24"/>
        </w:rPr>
      </w:pPr>
      <w:r>
        <w:rPr>
          <w:szCs w:val="24"/>
        </w:rPr>
        <w:t xml:space="preserve">и профессионального образ</w:t>
      </w:r>
      <w:r>
        <w:rPr>
          <w:szCs w:val="24"/>
        </w:rPr>
        <w:t xml:space="preserve">ования Красноярского края на 2020</w:t>
      </w:r>
      <w:r>
        <w:rPr>
          <w:szCs w:val="24"/>
        </w:rPr>
        <w:t xml:space="preserve">-20</w:t>
      </w:r>
      <w:r>
        <w:rPr>
          <w:szCs w:val="24"/>
        </w:rPr>
        <w:t xml:space="preserve">23</w:t>
      </w:r>
      <w:r>
        <w:rPr>
          <w:szCs w:val="24"/>
        </w:rPr>
        <w:t xml:space="preserve"> годы</w:t>
      </w:r>
      <w:r/>
    </w:p>
    <w:p>
      <w:pPr>
        <w:pStyle w:val="76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tbl>
      <w:tblPr>
        <w:tblW w:w="14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4111"/>
        <w:gridCol w:w="4678"/>
        <w:gridCol w:w="1559"/>
        <w:gridCol w:w="3544"/>
      </w:tblGrid>
      <w:tr>
        <w:trPr>
          <w:trHeight w:val="20"/>
          <w:tblHeader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п/п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center"/>
              <w:keepNext w:val="0"/>
              <w:rPr>
                <w:szCs w:val="24"/>
              </w:rPr>
            </w:pPr>
            <w:r>
              <w:rPr>
                <w:szCs w:val="24"/>
              </w:rPr>
              <w:t xml:space="preserve">Мероприяти</w:t>
            </w:r>
            <w:r>
              <w:rPr>
                <w:szCs w:val="24"/>
              </w:rPr>
              <w:t xml:space="preserve">е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center"/>
              <w:keepNext w:val="0"/>
              <w:rPr>
                <w:szCs w:val="24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  <w:t xml:space="preserve">езультат</w:t>
            </w:r>
            <w:r>
              <w:rPr>
                <w:szCs w:val="24"/>
              </w:rPr>
              <w:t xml:space="preserve">ы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</w:t>
            </w:r>
            <w:r>
              <w:rPr>
                <w:b/>
                <w:szCs w:val="24"/>
              </w:rPr>
              <w:t xml:space="preserve"> реализации</w:t>
            </w:r>
            <w:r>
              <w:rPr>
                <w:b/>
                <w:szCs w:val="24"/>
              </w:rPr>
              <w:t xml:space="preserve"> 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</w:t>
            </w:r>
            <w:r>
              <w:rPr>
                <w:b/>
                <w:szCs w:val="24"/>
              </w:rPr>
              <w:t xml:space="preserve">сполнители</w:t>
            </w:r>
            <w:r>
              <w:rPr>
                <w:b/>
                <w:szCs w:val="24"/>
              </w:rPr>
              <w:t xml:space="preserve">, </w:t>
            </w:r>
            <w:r/>
          </w:p>
          <w:p>
            <w:pPr>
              <w:pStyle w:val="715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соисполнители</w:t>
            </w:r>
            <w:r>
              <w:rPr>
                <w:b/>
                <w:szCs w:val="24"/>
              </w:rPr>
            </w:r>
            <w:r/>
          </w:p>
        </w:tc>
      </w:tr>
      <w:tr>
        <w:trPr>
          <w:trHeight w:val="20"/>
          <w:tblHeader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center"/>
              <w:keepNext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2</w:t>
            </w:r>
            <w:r>
              <w:rPr>
                <w:b w:val="0"/>
                <w:bCs/>
                <w:sz w:val="20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center"/>
              <w:keepNext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3</w:t>
            </w:r>
            <w:r>
              <w:rPr>
                <w:b w:val="0"/>
                <w:bCs/>
                <w:sz w:val="20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31"/>
        </w:trPr>
        <w:tc>
          <w:tcPr>
            <w:gridSpan w:val="5"/>
            <w:tcW w:w="1485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II</w:t>
            </w:r>
            <w:r>
              <w:rPr>
                <w:b/>
                <w:szCs w:val="24"/>
              </w:rPr>
              <w:t xml:space="preserve">. Координация, межуровневое и межведомственное взаимодействие «</w:t>
            </w:r>
            <w:r>
              <w:rPr>
                <w:b/>
                <w:szCs w:val="24"/>
                <w:lang w:val="en-US"/>
              </w:rPr>
              <w:t xml:space="preserve">Укрепление социального партнерства</w:t>
            </w:r>
            <w:r>
              <w:rPr>
                <w:b/>
                <w:szCs w:val="24"/>
                <w:lang w:val="ru-RU"/>
              </w:rPr>
              <w:t xml:space="preserve">»</w:t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2.1.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Проведение межведомственных совещаний, «круглых столов» </w:t>
            </w:r>
            <w:r>
              <w:rPr>
                <w:b w:val="0"/>
                <w:szCs w:val="24"/>
              </w:rPr>
              <w:br w:type="textWrapping" w:clear="all"/>
            </w:r>
            <w:r>
              <w:rPr>
                <w:b w:val="0"/>
                <w:szCs w:val="24"/>
              </w:rPr>
              <w:t xml:space="preserve">и других мероприятий по вопросам занятости и трудоустройства студентов и выпускников 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30"/>
              <w:contextualSpacing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В марте 2020 г. состоялся  «круглый стол» с участием КГКУ «ЦЗН Кежемского района»  по вопросам проведения мониторинга профессиональных  планов выпускников. </w:t>
            </w:r>
            <w:r>
              <w:rPr>
                <w:b w:val="0"/>
                <w:szCs w:val="24"/>
              </w:rPr>
              <w:t xml:space="preserve">Круглый стол</w:t>
            </w:r>
            <w:r>
              <w:rPr>
                <w:b w:val="0"/>
                <w:szCs w:val="24"/>
              </w:rPr>
              <w:t xml:space="preserve"> с работодателями</w:t>
            </w:r>
            <w:r>
              <w:rPr>
                <w:b w:val="0"/>
                <w:szCs w:val="24"/>
              </w:rPr>
              <w:t xml:space="preserve"> отменен в связи с пандемией</w:t>
            </w:r>
            <w:r>
              <w:rPr>
                <w:b w:val="0"/>
                <w:szCs w:val="24"/>
              </w:rPr>
              <w:t xml:space="preserve">. Личное общение.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2021</w:t>
            </w:r>
            <w:r>
              <w:rPr>
                <w:szCs w:val="24"/>
              </w:rPr>
            </w:r>
            <w:r/>
          </w:p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Март 2023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Директор , заместитель директора по УПР, заместитель директора по УВР, методист</w:t>
            </w:r>
            <w:r>
              <w:rPr>
                <w:szCs w:val="24"/>
              </w:rPr>
              <w:t xml:space="preserve">, руководитель центра планирования карьеры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2.2.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Деятельность красноярской ассоциации центров содействия трудоустройству выпускников </w:t>
            </w:r>
            <w:r>
              <w:rPr>
                <w:b w:val="0"/>
                <w:szCs w:val="24"/>
              </w:rPr>
              <w:br w:type="textWrapping" w:clear="all"/>
            </w:r>
            <w:r>
              <w:rPr>
                <w:b w:val="0"/>
                <w:szCs w:val="24"/>
              </w:rPr>
              <w:t xml:space="preserve">и студентов учреждений профессионального образования края</w:t>
            </w:r>
            <w:r>
              <w:rPr>
                <w:b w:val="0"/>
                <w:szCs w:val="24"/>
              </w:rPr>
              <w:t xml:space="preserve"> (далее – ассоциация)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2.3.1.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акци</w:t>
            </w:r>
            <w:r>
              <w:rPr>
                <w:szCs w:val="24"/>
              </w:rPr>
              <w:t xml:space="preserve">я</w:t>
            </w:r>
            <w:r>
              <w:rPr>
                <w:szCs w:val="24"/>
              </w:rPr>
              <w:t xml:space="preserve"> «</w:t>
            </w:r>
            <w:r>
              <w:rPr>
                <w:szCs w:val="24"/>
              </w:rPr>
              <w:t xml:space="preserve">Открытые двери</w:t>
            </w:r>
            <w:r>
              <w:rPr>
                <w:szCs w:val="24"/>
              </w:rPr>
              <w:t xml:space="preserve">» 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Студенты участвуют в мероприятиях Всероссийской программы по развитию системы ранней профориентации «</w:t>
            </w:r>
            <w:r>
              <w:rPr>
                <w:szCs w:val="24"/>
                <w:lang w:val="en-US"/>
              </w:rPr>
              <w:t xml:space="preserve">Z</w:t>
            </w:r>
            <w:r>
              <w:rPr>
                <w:szCs w:val="24"/>
              </w:rPr>
              <w:t xml:space="preserve">асобой»</w:t>
            </w:r>
            <w:r>
              <w:rPr>
                <w:szCs w:val="24"/>
              </w:rPr>
              <w:t xml:space="preserve"> </w:t>
            </w:r>
            <w:r/>
          </w:p>
          <w:p>
            <w:pPr>
              <w:pStyle w:val="7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марте 2020 проведён «День открытых дверей». Основной целью данного мероприятия был</w:t>
            </w:r>
            <w:r>
              <w:rPr>
                <w:szCs w:val="24"/>
                <w:lang w:eastAsia="en-US"/>
              </w:rPr>
              <w:t xml:space="preserve">о оказание помощи выпускникам школ города Кодинска и Кежемского района в профессиональном самоопределении, выборе образовательной траектории и популяризации рабочих и инженерно-технических профессий. Всего в данном мероприятии приняли участие 278 человек. </w:t>
            </w:r>
            <w:r/>
          </w:p>
          <w:p>
            <w:pPr>
              <w:pStyle w:val="715"/>
              <w:contextualSpacing/>
              <w:rPr>
                <w:color w:val="0c0c0c"/>
                <w:szCs w:val="24"/>
              </w:rPr>
            </w:pPr>
            <w:r>
              <w:rPr>
                <w:szCs w:val="24"/>
                <w:lang w:eastAsia="en-US"/>
              </w:rPr>
              <w:t xml:space="preserve">Проведена акция «Из рук в руки»,  распространено 150 буклетов</w:t>
            </w:r>
            <w:r>
              <w:rPr>
                <w:szCs w:val="24"/>
                <w:lang w:eastAsia="en-US"/>
              </w:rPr>
              <w:t xml:space="preserve">.                     </w:t>
            </w:r>
            <w:r>
              <w:rPr>
                <w:szCs w:val="24"/>
              </w:rPr>
              <w:t xml:space="preserve">В 2020</w:t>
            </w:r>
            <w:r>
              <w:rPr>
                <w:szCs w:val="24"/>
              </w:rPr>
              <w:t xml:space="preserve"> году учащиеся Ко</w:t>
            </w:r>
            <w:r>
              <w:rPr>
                <w:szCs w:val="24"/>
              </w:rPr>
              <w:t xml:space="preserve">динских средних школ посетили </w:t>
            </w:r>
            <w:r>
              <w:rPr>
                <w:szCs w:val="24"/>
              </w:rPr>
              <w:t xml:space="preserve">Приангарский политехнический техникум. Для них были организованы экскурсии, где ребята познакомились с учебными классами, производственно-</w:t>
            </w:r>
            <w:r>
              <w:rPr>
                <w:szCs w:val="24"/>
              </w:rPr>
              <w:t xml:space="preserve">техническими мастерскими, профессиями, которые можно получить в техникуме. Профессиональные пробы прошли по профессиям машинист лесозаготовительных и трелевочных машин, парикмахер, повар, маляр строительный, автомеханик, мастер столярных и мебельных работ.</w:t>
            </w:r>
            <w:r>
              <w:rPr>
                <w:color w:val="0c0c0c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2021, март 2023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Методист, руководитель центра планирования карьеры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2.3.2.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акция «Новые рубежи»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2.4.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Организация деятельности студенческих отрядов Красноярского края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2.5.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Реализация проектов, направленных на развитие профессиональных сообществ 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  <w:t xml:space="preserve">.6.1.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Расширение практики </w:t>
            </w:r>
            <w:r>
              <w:rPr>
                <w:b w:val="0"/>
                <w:szCs w:val="24"/>
              </w:rPr>
              <w:t xml:space="preserve">целево</w:t>
            </w:r>
            <w:r>
              <w:rPr>
                <w:b w:val="0"/>
                <w:szCs w:val="24"/>
              </w:rPr>
              <w:t xml:space="preserve">го</w:t>
            </w:r>
            <w:r>
              <w:rPr>
                <w:b w:val="0"/>
                <w:szCs w:val="24"/>
              </w:rPr>
              <w:t xml:space="preserve"> обучени</w:t>
            </w:r>
            <w:r>
              <w:rPr>
                <w:b w:val="0"/>
                <w:szCs w:val="24"/>
              </w:rPr>
              <w:t xml:space="preserve">я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студентов 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трудоустройство 50% и более по целевым договорам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июль – сентябрь 2020, 2021, 2022, 2023г.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УПР, мастера производственного обучения выпускных групп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2.6.2.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Привлечение представителей работодателя к учебному процессу, </w:t>
              <w:br w:type="textWrapping" w:clear="all"/>
              <w:t xml:space="preserve">к дипломному проектированию, проведению итоговой аттестации студентов 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К выполнению дипломных работ выпускников СПО привлечены работодатели у которых студенты проходят преддипломную практику. Председателями ГАК являются работодатели и их представители.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апрель-май-июнь 2021, 2022, 2023 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УПР, мастера производственного обучения выпускных групп, руководители дипломных работ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2.6.3.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Заключение соглашений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с работодателями на организацию производственной практики студентов и дальнейшее трудоустройство выпускников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Заключены соглашения на проведение производственной практики с предприятиями и индивидуальными предпринимателями Кежемского и Богучанского районов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Бессрочно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УПР</w:t>
            </w:r>
            <w:r>
              <w:rPr>
                <w:szCs w:val="24"/>
              </w:rPr>
            </w:r>
            <w:r/>
          </w:p>
        </w:tc>
      </w:tr>
      <w:tr>
        <w:trPr>
          <w:trHeight w:val="1188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2.6.4.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Участие работодателей </w:t>
              <w:br w:type="textWrapping" w:clear="all"/>
              <w:t xml:space="preserve">в </w:t>
            </w:r>
            <w:r>
              <w:rPr>
                <w:szCs w:val="24"/>
              </w:rPr>
              <w:t xml:space="preserve">мероприяти</w:t>
            </w:r>
            <w:r>
              <w:rPr>
                <w:szCs w:val="24"/>
              </w:rPr>
              <w:t xml:space="preserve">ях</w:t>
            </w:r>
            <w:r>
              <w:rPr>
                <w:szCs w:val="24"/>
              </w:rPr>
              <w:t xml:space="preserve"> по содействию трудоустройству выпускников 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 работодателями заключены целевые договора, </w:t>
            </w:r>
            <w:r>
              <w:rPr>
                <w:szCs w:val="24"/>
              </w:rPr>
              <w:t xml:space="preserve">соглашения.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УПР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2.6.8.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Реализация проекта </w:t>
            </w:r>
            <w:r>
              <w:rPr>
                <w:szCs w:val="24"/>
              </w:rPr>
              <w:t xml:space="preserve">по сопряжению промежуточной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государственной итоговой аттестации с </w:t>
            </w:r>
            <w:r>
              <w:rPr>
                <w:szCs w:val="24"/>
              </w:rPr>
              <w:t xml:space="preserve">независимой оценкой квалификации</w:t>
            </w:r>
            <w:r>
              <w:rPr>
                <w:szCs w:val="24"/>
              </w:rPr>
              <w:t xml:space="preserve"> обучающихся профессиональных образовательных организаций края 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2.6.9.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Развитие  практико-ориентированного (дуального) обучения 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2.6.10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Участие в</w:t>
            </w:r>
            <w:r>
              <w:rPr>
                <w:szCs w:val="24"/>
              </w:rPr>
              <w:t xml:space="preserve"> регионально</w:t>
            </w:r>
            <w:r>
              <w:rPr>
                <w:szCs w:val="24"/>
              </w:rPr>
              <w:t xml:space="preserve">м</w:t>
            </w:r>
            <w:r>
              <w:rPr>
                <w:szCs w:val="24"/>
              </w:rPr>
              <w:t xml:space="preserve"> чемпионат</w:t>
            </w:r>
            <w:r>
              <w:rPr>
                <w:szCs w:val="24"/>
              </w:rPr>
              <w:t xml:space="preserve">е</w:t>
            </w:r>
            <w:r>
              <w:rPr>
                <w:szCs w:val="24"/>
              </w:rPr>
              <w:t xml:space="preserve"> профессионального мастерства по стандартам Ворлдскиллс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 2020 году участие по двум квалификациям: парикмахерское искусство – 4 место; пекарское искусство.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Заместитель директора по УПР, методист, мастера ПО</w:t>
            </w:r>
            <w:r>
              <w:rPr>
                <w:bCs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W w:w="1485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V</w:t>
            </w:r>
            <w:r>
              <w:rPr>
                <w:b/>
                <w:szCs w:val="24"/>
                <w:lang w:val="en-US"/>
              </w:rPr>
              <w:t xml:space="preserve">I</w:t>
            </w:r>
            <w:r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Организация работы по сопровождению трудоустройства выпускников в образовательных организациях профессионального </w:t>
            </w:r>
            <w:r>
              <w:rPr>
                <w:b/>
                <w:szCs w:val="24"/>
              </w:rPr>
              <w:br w:type="textWrapping" w:clear="all"/>
            </w:r>
            <w:r>
              <w:rPr>
                <w:b/>
                <w:szCs w:val="24"/>
              </w:rPr>
              <w:t xml:space="preserve">и высшего образования</w:t>
            </w:r>
            <w:r>
              <w:rPr>
                <w:b/>
                <w:szCs w:val="24"/>
              </w:rPr>
              <w:t xml:space="preserve">.</w:t>
            </w:r>
            <w:r>
              <w:rPr>
                <w:b/>
                <w:szCs w:val="24"/>
              </w:rPr>
              <w:t xml:space="preserve"> Формирование и развитие специальных компетенций студентов по технологиям трудоустройства </w:t>
            </w:r>
            <w:r>
              <w:rPr>
                <w:b/>
                <w:szCs w:val="24"/>
              </w:rPr>
              <w:br w:type="textWrapping" w:clear="all"/>
            </w:r>
            <w:r>
              <w:rPr>
                <w:b/>
                <w:szCs w:val="24"/>
              </w:rPr>
              <w:t xml:space="preserve">и взаимодействия с работодател</w:t>
            </w:r>
            <w:r>
              <w:rPr>
                <w:b/>
                <w:szCs w:val="24"/>
              </w:rPr>
              <w:t xml:space="preserve">ями</w:t>
            </w:r>
            <w:r>
              <w:rPr>
                <w:b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  <w:t xml:space="preserve">.1.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</w:t>
            </w:r>
            <w:r>
              <w:rPr>
                <w:b w:val="0"/>
                <w:szCs w:val="24"/>
              </w:rPr>
              <w:t xml:space="preserve">ункционирование специализированных </w:t>
            </w:r>
            <w:r>
              <w:rPr>
                <w:b w:val="0"/>
                <w:szCs w:val="24"/>
              </w:rPr>
              <w:t xml:space="preserve">структур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br w:type="textWrapping" w:clear="all"/>
            </w:r>
            <w:r>
              <w:rPr>
                <w:b w:val="0"/>
                <w:szCs w:val="24"/>
              </w:rPr>
              <w:t xml:space="preserve">по содействию трудоустр</w:t>
            </w:r>
            <w:r>
              <w:rPr>
                <w:b w:val="0"/>
                <w:szCs w:val="24"/>
              </w:rPr>
              <w:t xml:space="preserve">ойству студентов и выпускников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Работает центр </w:t>
            </w:r>
            <w:r>
              <w:rPr>
                <w:szCs w:val="24"/>
              </w:rPr>
              <w:t xml:space="preserve">планирования карьеры</w:t>
            </w:r>
            <w:r>
              <w:rPr>
                <w:szCs w:val="24"/>
                <w:lang w:eastAsia="en-US"/>
              </w:rPr>
              <w:t xml:space="preserve">.     </w:t>
            </w:r>
            <w:r>
              <w:rPr>
                <w:szCs w:val="24"/>
                <w:lang w:eastAsia="en-US"/>
              </w:rPr>
              <w:t xml:space="preserve"> В марте 2020</w:t>
            </w:r>
            <w:r>
              <w:rPr>
                <w:szCs w:val="24"/>
                <w:lang w:eastAsia="en-US"/>
              </w:rPr>
              <w:t xml:space="preserve"> года состоялся Единый день профессиональной ориентации «Путь к успеху</w:t>
            </w:r>
            <w:r>
              <w:rPr>
                <w:szCs w:val="24"/>
                <w:lang w:eastAsia="en-US"/>
              </w:rPr>
              <w:t xml:space="preserve">». Основной целью данного мероприятия было оказание помощи подросткам в профессиональном самоопределении, выборе образовательной траектории и популяризации рабочих и инженерно-технических профессий. Всего в данном мероприятии приняли участие 202 человека. </w:t>
            </w:r>
            <w:r>
              <w:rPr>
                <w:szCs w:val="24"/>
                <w:lang w:eastAsia="en-US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Июль-сентябрь 2021, 2022, 2023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Руководитель МЦК производственного цикла, центра </w:t>
            </w:r>
            <w:r>
              <w:rPr>
                <w:szCs w:val="24"/>
              </w:rPr>
              <w:t xml:space="preserve">планирования карьеры</w:t>
            </w:r>
            <w:r>
              <w:rPr>
                <w:szCs w:val="24"/>
              </w:rPr>
              <w:t xml:space="preserve">, ЦЗН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  <w:t xml:space="preserve">.2.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Обучение студентов по программам дополнительного профессионального образования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trike/>
                <w:szCs w:val="24"/>
              </w:rPr>
            </w:pPr>
            <w:r>
              <w:rPr>
                <w:strike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4.3.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Разработка индивидуальных перспективных планов профессионального развития выпускника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6"/>
              <w:contextualSpacing/>
              <w:jc w:val="left"/>
              <w:keepNext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Разработаны индивидуальные перспективные планы профессионального развития на каждого выпускника </w:t>
            </w:r>
            <w:r>
              <w:rPr>
                <w:b w:val="0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Май-июнь 2021, 2022, 2023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Руководитель центра планирования карьеры, мастера производственного обучения, КГКУ «ЦЗН Кежемского района»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4.4.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Обучение </w:t>
            </w:r>
            <w:r>
              <w:rPr>
                <w:szCs w:val="24"/>
                <w:lang w:eastAsia="ru-RU"/>
              </w:rPr>
              <w:t xml:space="preserve">студентов и </w:t>
            </w:r>
            <w:r>
              <w:rPr>
                <w:szCs w:val="24"/>
                <w:lang w:eastAsia="ru-RU"/>
              </w:rPr>
              <w:t xml:space="preserve">выпускников навыкам технологии трудоустройства</w:t>
            </w:r>
            <w:r>
              <w:rPr>
                <w:szCs w:val="24"/>
                <w:lang w:eastAsia="ru-RU"/>
              </w:rPr>
              <w:t xml:space="preserve"> и </w:t>
            </w:r>
            <w:r>
              <w:rPr>
                <w:szCs w:val="24"/>
                <w:lang w:eastAsia="ru-RU"/>
              </w:rPr>
              <w:t xml:space="preserve">планирования профессиональной карьеры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В рамках предмета обществознание (с элементами экономики и права</w:t>
            </w:r>
            <w:r>
              <w:rPr>
                <w:szCs w:val="24"/>
              </w:rPr>
              <w:t xml:space="preserve">). Предметы по планированию карьеры за счет вариативной части.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УПР, преподаватели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4.5.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Оказание консультационных услуг по вопросам трудоустройства 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Декадник «Путь к профессиональной карьере» для выпускников «Приангарского политехнического техникума»</w:t>
            </w:r>
            <w:r/>
          </w:p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 08.04.2020 по 18.04.2020 года КГКУ «ЦЗН Кежемского района» провед</w:t>
            </w:r>
            <w:r>
              <w:rPr>
                <w:szCs w:val="24"/>
              </w:rPr>
              <w:t xml:space="preserve">ена акция «Открытые двери» и «Путь к профессиональной карьере» Основная задача декадника – подготовка выпускников к выходу на рынок. С этой целью Центр занятости провел индивидуальные и групповые консультации для выпускников и студентов Приангарского полит</w:t>
            </w:r>
            <w:r>
              <w:rPr>
                <w:szCs w:val="24"/>
              </w:rPr>
              <w:t xml:space="preserve">ехнического техникума. Также студенты познакомились с технологией трудоустройства, приняли участие в тренинге «Построение карьеры», деловых играх: «Собеседование с работодателем», «Мое первое резюме». Общая численность участников акции составила 75 человек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Руководитель центра планирования карьеры, КГКУ «ЦЗН Кежемского района»</w:t>
            </w:r>
            <w:r>
              <w:rPr>
                <w:szCs w:val="24"/>
              </w:rPr>
            </w:r>
            <w:r/>
          </w:p>
        </w:tc>
      </w:tr>
      <w:tr>
        <w:trPr>
          <w:trHeight w:val="5707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4.6.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Проведение мероприятий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по содействию трудоустройству выпускников</w:t>
            </w:r>
            <w:r>
              <w:rPr>
                <w:szCs w:val="24"/>
                <w:lang w:eastAsia="ru-RU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Летняя профориентационная акция «Большая перемена» </w:t>
            </w:r>
            <w:r>
              <w:rPr>
                <w:szCs w:val="24"/>
              </w:rPr>
            </w:r>
            <w:r/>
          </w:p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В рамках проведения ежегодной краевой профориентационной  акции «Большая перемена» волонтеры  техникума участвовали в мероприятии «ПРОФИчеллендж» в социальной сети</w:t>
            </w:r>
            <w:r>
              <w:rPr>
                <w:szCs w:val="24"/>
              </w:rPr>
            </w:r>
            <w:r/>
          </w:p>
          <w:p>
            <w:pPr>
              <w:pStyle w:val="715"/>
              <w:contextualSpacing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Декадник «Мир профессий» для детей </w:t>
              <w:br w:type="textWrapping" w:clear="all"/>
              <w:t xml:space="preserve">с ограниченными возможностями</w:t>
            </w:r>
            <w:r/>
          </w:p>
          <w:p>
            <w:pPr>
              <w:pStyle w:val="715"/>
              <w:contextualSpacing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Волонтеры-профориентаторы под руководством мастеров производственного обучения в ходе декадника провели профориентационные пробы по профессиям: повар, электросва</w:t>
            </w:r>
            <w:r>
              <w:rPr>
                <w:szCs w:val="24"/>
                <w:lang w:eastAsia="en-US"/>
              </w:rPr>
              <w:t xml:space="preserve">р</w:t>
            </w:r>
            <w:r>
              <w:rPr>
                <w:szCs w:val="24"/>
                <w:lang w:eastAsia="en-US"/>
              </w:rPr>
              <w:t xml:space="preserve">щик, парикмахер, мастер ЖКХ, машинист лесозаготовительных трелевочных машин. В ходе акции прошла выставка декоративно-прикладного творчества "Наши руки не для скуки".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4.7.</w:t>
            </w:r>
            <w:r>
              <w:rPr>
                <w:szCs w:val="24"/>
              </w:rPr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Сопровождение </w:t>
            </w:r>
            <w:r>
              <w:rPr>
                <w:szCs w:val="24"/>
              </w:rPr>
              <w:t xml:space="preserve">при трудоустройстве </w:t>
            </w:r>
            <w:r>
              <w:rPr>
                <w:szCs w:val="24"/>
              </w:rPr>
              <w:t xml:space="preserve">выпускников из числа инвалидов – участников конкурса профессионального мастерства «АБИЛИМПИКС», нуждающихся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в трудоустройстве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</w:pPr>
            <w:r/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W w:w="1485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V</w:t>
            </w:r>
            <w:r>
              <w:rPr>
                <w:b/>
                <w:szCs w:val="24"/>
                <w:lang w:val="en-US"/>
              </w:rPr>
              <w:t xml:space="preserve">I</w:t>
            </w:r>
            <w:r>
              <w:rPr>
                <w:b/>
                <w:szCs w:val="24"/>
              </w:rPr>
              <w:t xml:space="preserve">. Содействие самозанятости и развитию предпринимательских инициатив студентов </w:t>
            </w:r>
            <w:r>
              <w:rPr>
                <w:b/>
                <w:szCs w:val="24"/>
              </w:rPr>
              <w:t xml:space="preserve">и выпускников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  <w:t xml:space="preserve">.1.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Подготовка студентов и выпускников к предпринимательской деятельности 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В рамках учебного плана</w:t>
            </w:r>
            <w:r>
              <w:rPr>
                <w:szCs w:val="24"/>
              </w:rPr>
              <w:t xml:space="preserve"> модуль «Основы предпринимательской деятельности»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trike/>
                <w:szCs w:val="24"/>
              </w:rPr>
            </w:pPr>
            <w:r>
              <w:rPr>
                <w:strike/>
                <w:szCs w:val="24"/>
              </w:rPr>
              <w:t xml:space="preserve">Заместитель директора по УПР, преподаватели</w:t>
            </w:r>
            <w:r>
              <w:rPr>
                <w:strike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W w:w="1485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V</w:t>
            </w:r>
            <w:r>
              <w:rPr>
                <w:b/>
                <w:szCs w:val="24"/>
                <w:lang w:val="en-US"/>
              </w:rPr>
              <w:t xml:space="preserve">II</w:t>
            </w:r>
            <w:r>
              <w:rPr>
                <w:b/>
                <w:szCs w:val="24"/>
              </w:rPr>
              <w:t xml:space="preserve">. Информационно</w:t>
            </w:r>
            <w:r>
              <w:rPr>
                <w:b/>
                <w:szCs w:val="24"/>
              </w:rPr>
              <w:t xml:space="preserve">е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сопровождение деятельности</w:t>
            </w:r>
            <w:r>
              <w:rPr>
                <w:b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  <w:t xml:space="preserve">.1.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Информирование</w:t>
            </w:r>
            <w:r>
              <w:rPr>
                <w:szCs w:val="24"/>
              </w:rPr>
              <w:t xml:space="preserve"> абитуриентов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о трудоустройстве выпускников предшествующих лет по выбранной ими профессии (специальности) 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На сайте, стенд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Заместитель директора по УПР, электроник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7.2.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5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Информирование ст</w:t>
            </w:r>
            <w:r>
              <w:rPr>
                <w:szCs w:val="24"/>
              </w:rPr>
              <w:t xml:space="preserve">у</w:t>
            </w:r>
            <w:r>
              <w:rPr>
                <w:szCs w:val="24"/>
              </w:rPr>
              <w:t xml:space="preserve">дентов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и выпускников о наличии вакансий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с использованием </w:t>
            </w:r>
            <w:r>
              <w:rPr>
                <w:szCs w:val="24"/>
              </w:rPr>
              <w:t xml:space="preserve">современных </w:t>
            </w:r>
            <w:r>
              <w:rPr>
                <w:szCs w:val="24"/>
              </w:rPr>
              <w:t xml:space="preserve"> технологий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Ярмарка вакансий </w:t>
            </w:r>
            <w:r>
              <w:rPr>
                <w:color w:val="000000"/>
                <w:szCs w:val="24"/>
              </w:rPr>
              <w:t xml:space="preserve">ЦЗН</w:t>
            </w:r>
            <w:r>
              <w:rPr>
                <w:color w:val="000000"/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2, 3, 4 квартал 202</w:t>
            </w: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 2022, 2023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669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Руководитель центра планирования карьеры, КГКУ «ЦЗН Кежемского района»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7.3.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Содействие трудоустройству выпускников посредством </w:t>
            </w:r>
            <w:r>
              <w:rPr>
                <w:szCs w:val="24"/>
              </w:rPr>
              <w:t xml:space="preserve">и</w:t>
            </w:r>
            <w:r>
              <w:rPr>
                <w:szCs w:val="24"/>
              </w:rPr>
              <w:t xml:space="preserve">нтернет-ресурсов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Через </w:t>
            </w:r>
            <w:r>
              <w:rPr>
                <w:szCs w:val="24"/>
              </w:rPr>
              <w:t xml:space="preserve">сайт образовательной организации, ссылки, через КГКУ «ЦЗН Кежемского района»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регулярно</w:t>
            </w: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Электроник, руководитель центра планирования карьеры</w:t>
            </w:r>
            <w:r>
              <w:rPr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7.4.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Информирование студентов </w:t>
              <w:br w:type="textWrapping" w:clear="all"/>
              <w:t xml:space="preserve">и выпускников о возможностях </w:t>
            </w:r>
            <w:r>
              <w:rPr>
                <w:szCs w:val="24"/>
              </w:rPr>
              <w:t xml:space="preserve">Портала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Работа.ру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Ссылка на сайте техникума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Электроник</w:t>
            </w:r>
            <w:r>
              <w:rPr>
                <w:szCs w:val="24"/>
              </w:rPr>
            </w:r>
            <w:r/>
          </w:p>
        </w:tc>
      </w:tr>
      <w:tr>
        <w:trPr>
          <w:trHeight w:val="1174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7.5.</w:t>
            </w:r>
            <w:r/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Информационное сопровождение процесса трудоустройства выпускников в средствах массовой информации </w:t>
            </w:r>
            <w:r>
              <w:rPr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34"/>
              <w:tabs>
                <w:tab w:val="left" w:pos="34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Знакомство с объявлениями в СМИ.</w:t>
            </w:r>
            <w:r>
              <w:rPr>
                <w:szCs w:val="24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71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Руководитель центра планирования карьеры, кураторы, мастера ПО</w:t>
            </w:r>
            <w:r>
              <w:rPr>
                <w:szCs w:val="24"/>
              </w:rPr>
            </w:r>
            <w:r/>
          </w:p>
        </w:tc>
      </w:tr>
    </w:tbl>
    <w:p>
      <w:pPr>
        <w:pStyle w:val="715"/>
        <w:contextualSpacing/>
        <w:tabs>
          <w:tab w:val="center" w:pos="4153" w:leader="none"/>
          <w:tab w:val="right" w:pos="8306" w:leader="none"/>
        </w:tabs>
        <w:rPr>
          <w:bCs/>
          <w:szCs w:val="24"/>
        </w:rPr>
      </w:pPr>
      <w:r>
        <w:rPr>
          <w:bCs/>
          <w:szCs w:val="24"/>
        </w:rPr>
      </w:r>
      <w:r/>
    </w:p>
    <w:p>
      <w:pPr>
        <w:pStyle w:val="715"/>
        <w:contextualSpacing/>
        <w:tabs>
          <w:tab w:val="center" w:pos="4153" w:leader="none"/>
          <w:tab w:val="right" w:pos="8306" w:leader="none"/>
        </w:tabs>
        <w:rPr>
          <w:bCs/>
          <w:szCs w:val="24"/>
        </w:rPr>
      </w:pPr>
      <w:r>
        <w:rPr>
          <w:bCs/>
          <w:szCs w:val="24"/>
        </w:rPr>
      </w:r>
      <w:r/>
    </w:p>
    <w:p>
      <w:pPr>
        <w:pStyle w:val="715"/>
        <w:contextualSpacing/>
        <w:jc w:val="both"/>
        <w:keepNext/>
        <w:rPr>
          <w:szCs w:val="24"/>
        </w:rPr>
      </w:pPr>
      <w:r>
        <w:rPr>
          <w:szCs w:val="24"/>
        </w:rPr>
      </w:r>
      <w:r/>
    </w:p>
    <w:p>
      <w:pPr>
        <w:pStyle w:val="715"/>
        <w:contextualSpacing/>
        <w:jc w:val="both"/>
        <w:keepNext/>
        <w:rPr>
          <w:szCs w:val="24"/>
        </w:rPr>
      </w:pPr>
      <w:r>
        <w:rPr>
          <w:szCs w:val="24"/>
        </w:rPr>
      </w:r>
      <w:r/>
    </w:p>
    <w:p>
      <w:pPr>
        <w:pStyle w:val="715"/>
        <w:contextualSpacing/>
        <w:jc w:val="both"/>
        <w:keepNext/>
        <w:rPr>
          <w:szCs w:val="24"/>
        </w:rPr>
      </w:pPr>
      <w:r>
        <w:rPr>
          <w:szCs w:val="24"/>
        </w:rPr>
      </w:r>
      <w:r/>
    </w:p>
    <w:p>
      <w:pPr>
        <w:pStyle w:val="715"/>
        <w:contextualSpacing/>
        <w:jc w:val="both"/>
        <w:keepNext/>
        <w:rPr>
          <w:szCs w:val="24"/>
        </w:rPr>
      </w:pPr>
      <w:r>
        <w:rPr>
          <w:szCs w:val="24"/>
        </w:rPr>
      </w:r>
      <w:r/>
    </w:p>
    <w:p>
      <w:pPr>
        <w:pStyle w:val="715"/>
        <w:contextualSpacing/>
        <w:jc w:val="both"/>
        <w:keepNext/>
        <w:rPr>
          <w:szCs w:val="24"/>
        </w:rPr>
      </w:pPr>
      <w:r>
        <w:rPr>
          <w:szCs w:val="24"/>
        </w:rPr>
      </w:r>
      <w:r/>
    </w:p>
    <w:p>
      <w:pPr>
        <w:pStyle w:val="715"/>
        <w:contextualSpacing/>
        <w:jc w:val="both"/>
        <w:keepNext/>
        <w:rPr>
          <w:szCs w:val="24"/>
        </w:rPr>
      </w:pPr>
      <w:r>
        <w:rPr>
          <w:szCs w:val="24"/>
        </w:rPr>
        <w:t xml:space="preserve">Исполнитель, телефон</w:t>
      </w:r>
      <w:r>
        <w:rPr>
          <w:szCs w:val="24"/>
        </w:rPr>
        <w:t xml:space="preserve"> заместитель директора по УПР Жарких М.Р. 8 (39143) 2-20-41</w:t>
      </w:r>
      <w:r>
        <w:rPr>
          <w:szCs w:val="24"/>
        </w:rPr>
      </w:r>
      <w:r/>
    </w:p>
    <w:sectPr>
      <w:headerReference w:type="default" r:id="rId9"/>
      <w:headerReference w:type="even" r:id="rId10"/>
      <w:footnotePr/>
      <w:endnotePr>
        <w:numFmt w:val="decimal"/>
      </w:endnotePr>
      <w:type w:val="nextPage"/>
      <w:pgSz w:w="16840" w:h="11907" w:orient="landscape"/>
      <w:pgMar w:top="709" w:right="850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ndale Sans UI">
    <w:panose1 w:val="02040503050201020203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separate"/>
    </w:r>
    <w:r>
      <w:rPr>
        <w:rStyle w:val="727"/>
      </w:rPr>
      <w:t xml:space="preserve">1</w:t>
    </w:r>
    <w:r>
      <w:rPr>
        <w:rStyle w:val="727"/>
      </w:rPr>
      <w:fldChar w:fldCharType="end"/>
    </w:r>
    <w:r>
      <w:rPr>
        <w:rStyle w:val="727"/>
      </w:rPr>
    </w:r>
    <w:r/>
  </w:p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9"/>
      <w:numFmt w:val="bullet"/>
      <w:isLgl w:val="false"/>
      <w:suff w:val="tab"/>
      <w:lvlText w:val="-"/>
      <w:lvlJc w:val="left"/>
      <w:pPr>
        <w:pStyle w:val="71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5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5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5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5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5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5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5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5"/>
        <w:ind w:left="4320" w:hanging="144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715"/>
        <w:ind w:left="394" w:hanging="360"/>
        <w:tabs>
          <w:tab w:val="num" w:pos="39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5"/>
        <w:ind w:left="394" w:hanging="360"/>
        <w:tabs>
          <w:tab w:val="num" w:pos="39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6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1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pStyle w:val="715"/>
        <w:ind w:left="743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1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18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5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2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39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47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4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14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829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5"/>
        <w:ind w:left="394" w:hanging="360"/>
        <w:tabs>
          <w:tab w:val="num" w:pos="39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715"/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829" w:hanging="180"/>
      </w:pPr>
    </w:lvl>
  </w:abstractNum>
  <w:abstractNum w:abstractNumId="20">
    <w:multiLevelType w:val="hybridMultilevel"/>
    <w:lvl w:ilvl="0">
      <w:start w:val="21"/>
      <w:numFmt w:val="bullet"/>
      <w:isLgl w:val="false"/>
      <w:suff w:val="tab"/>
      <w:lvlText w:val="-"/>
      <w:lvlJc w:val="left"/>
      <w:pPr>
        <w:pStyle w:val="71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"/>
      <w:lvlJc w:val="left"/>
      <w:pPr>
        <w:pStyle w:val="71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5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5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5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5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5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5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5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5"/>
        <w:ind w:left="4320" w:hanging="1440"/>
      </w:p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5"/>
        <w:ind w:left="394" w:hanging="360"/>
        <w:tabs>
          <w:tab w:val="num" w:pos="39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15"/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15"/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5"/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5"/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5"/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5"/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5"/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5"/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5"/>
        <w:ind w:left="6906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15"/>
        <w:ind w:left="1146" w:hanging="360"/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15"/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5"/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5"/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5"/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5"/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5"/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5"/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5"/>
        <w:ind w:left="6906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3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pStyle w:val="715"/>
        <w:ind w:left="743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1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18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5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2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39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47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4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143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abstractNum w:abstractNumId="35">
    <w:multiLevelType w:val="hybridMultilevel"/>
    <w:lvl w:ilvl="0">
      <w:start w:val="20"/>
      <w:numFmt w:val="bullet"/>
      <w:isLgl w:val="false"/>
      <w:suff w:val="tab"/>
      <w:lvlText w:val="-"/>
      <w:lvlJc w:val="left"/>
      <w:pPr>
        <w:pStyle w:val="715"/>
        <w:ind w:left="469" w:hanging="360"/>
        <w:tabs>
          <w:tab w:val="num" w:pos="4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pStyle w:val="715"/>
        <w:ind w:left="743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1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18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5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2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39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47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4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143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20"/>
  </w:num>
  <w:num w:numId="5">
    <w:abstractNumId w:val="15"/>
  </w:num>
  <w:num w:numId="6">
    <w:abstractNumId w:val="35"/>
  </w:num>
  <w:num w:numId="7">
    <w:abstractNumId w:val="21"/>
  </w:num>
  <w:num w:numId="8">
    <w:abstractNumId w:val="37"/>
  </w:num>
  <w:num w:numId="9">
    <w:abstractNumId w:val="0"/>
  </w:num>
  <w:num w:numId="10">
    <w:abstractNumId w:val="3"/>
  </w:num>
  <w:num w:numId="11">
    <w:abstractNumId w:val="8"/>
  </w:num>
  <w:num w:numId="12">
    <w:abstractNumId w:val="38"/>
  </w:num>
  <w:num w:numId="13">
    <w:abstractNumId w:val="1"/>
  </w:num>
  <w:num w:numId="14">
    <w:abstractNumId w:val="36"/>
  </w:num>
  <w:num w:numId="15">
    <w:abstractNumId w:val="25"/>
  </w:num>
  <w:num w:numId="16">
    <w:abstractNumId w:val="7"/>
  </w:num>
  <w:num w:numId="17">
    <w:abstractNumId w:val="17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18"/>
  </w:num>
  <w:num w:numId="23">
    <w:abstractNumId w:val="27"/>
  </w:num>
  <w:num w:numId="24">
    <w:abstractNumId w:val="39"/>
  </w:num>
  <w:num w:numId="25">
    <w:abstractNumId w:val="11"/>
  </w:num>
  <w:num w:numId="26">
    <w:abstractNumId w:val="23"/>
  </w:num>
  <w:num w:numId="27">
    <w:abstractNumId w:val="22"/>
  </w:num>
  <w:num w:numId="28">
    <w:abstractNumId w:val="4"/>
  </w:num>
  <w:num w:numId="29">
    <w:abstractNumId w:val="19"/>
  </w:num>
  <w:num w:numId="30">
    <w:abstractNumId w:val="26"/>
  </w:num>
  <w:num w:numId="31">
    <w:abstractNumId w:val="29"/>
  </w:num>
  <w:num w:numId="32">
    <w:abstractNumId w:val="13"/>
  </w:num>
  <w:num w:numId="33">
    <w:abstractNumId w:val="9"/>
  </w:num>
  <w:num w:numId="34">
    <w:abstractNumId w:val="32"/>
  </w:num>
  <w:num w:numId="35">
    <w:abstractNumId w:val="16"/>
  </w:num>
  <w:num w:numId="36">
    <w:abstractNumId w:val="40"/>
  </w:num>
  <w:num w:numId="37">
    <w:abstractNumId w:val="34"/>
  </w:num>
  <w:num w:numId="38">
    <w:abstractNumId w:val="10"/>
  </w:num>
  <w:num w:numId="39">
    <w:abstractNumId w:val="30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7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next w:val="715"/>
    <w:link w:val="715"/>
    <w:qFormat/>
    <w:rPr>
      <w:sz w:val="24"/>
      <w:lang w:val="ru-RU" w:eastAsia="ru-RU" w:bidi="ar-SA"/>
    </w:rPr>
  </w:style>
  <w:style w:type="paragraph" w:styleId="716">
    <w:name w:val="Заголовок 1"/>
    <w:basedOn w:val="715"/>
    <w:next w:val="715"/>
    <w:link w:val="748"/>
    <w:uiPriority w:val="99"/>
    <w:qFormat/>
    <w:pPr>
      <w:jc w:val="both"/>
      <w:keepNext/>
      <w:outlineLvl w:val="0"/>
    </w:pPr>
    <w:rPr>
      <w:b/>
    </w:rPr>
  </w:style>
  <w:style w:type="paragraph" w:styleId="717">
    <w:name w:val="Заголовок 2"/>
    <w:basedOn w:val="715"/>
    <w:next w:val="715"/>
    <w:link w:val="715"/>
    <w:qFormat/>
    <w:pPr>
      <w:jc w:val="center"/>
      <w:keepNext/>
      <w:outlineLvl w:val="1"/>
    </w:pPr>
    <w:rPr>
      <w:b/>
      <w:lang w:val="en-US"/>
    </w:rPr>
  </w:style>
  <w:style w:type="paragraph" w:styleId="718">
    <w:name w:val="Заголовок 3"/>
    <w:basedOn w:val="715"/>
    <w:next w:val="715"/>
    <w:link w:val="715"/>
    <w:qFormat/>
    <w:pPr>
      <w:keepNext/>
      <w:outlineLvl w:val="2"/>
    </w:pPr>
    <w:rPr>
      <w:b/>
    </w:rPr>
  </w:style>
  <w:style w:type="paragraph" w:styleId="719">
    <w:name w:val="Заголовок 4"/>
    <w:basedOn w:val="715"/>
    <w:next w:val="715"/>
    <w:link w:val="715"/>
    <w:qFormat/>
    <w:pPr>
      <w:jc w:val="center"/>
      <w:keepNext/>
      <w:outlineLvl w:val="3"/>
    </w:pPr>
    <w:rPr>
      <w:b/>
      <w:sz w:val="28"/>
    </w:rPr>
  </w:style>
  <w:style w:type="paragraph" w:styleId="720">
    <w:name w:val="Заголовок 5"/>
    <w:basedOn w:val="715"/>
    <w:next w:val="715"/>
    <w:link w:val="715"/>
    <w:qFormat/>
    <w:pPr>
      <w:jc w:val="center"/>
      <w:keepNext/>
      <w:outlineLvl w:val="4"/>
    </w:pPr>
    <w:rPr>
      <w:sz w:val="28"/>
    </w:rPr>
  </w:style>
  <w:style w:type="paragraph" w:styleId="721">
    <w:name w:val="Заголовок 6"/>
    <w:basedOn w:val="715"/>
    <w:next w:val="715"/>
    <w:link w:val="715"/>
    <w:qFormat/>
    <w:pPr>
      <w:ind w:left="34"/>
      <w:keepNext/>
      <w:tabs>
        <w:tab w:val="left" w:pos="34" w:leader="none"/>
      </w:tabs>
      <w:outlineLvl w:val="5"/>
    </w:pPr>
    <w:rPr>
      <w:sz w:val="28"/>
    </w:rPr>
  </w:style>
  <w:style w:type="paragraph" w:styleId="722">
    <w:name w:val="Заголовок 7"/>
    <w:basedOn w:val="715"/>
    <w:next w:val="715"/>
    <w:link w:val="715"/>
    <w:qFormat/>
    <w:pPr>
      <w:keepNext/>
      <w:tabs>
        <w:tab w:val="left" w:pos="34" w:leader="none"/>
      </w:tabs>
      <w:outlineLvl w:val="6"/>
    </w:pPr>
    <w:rPr>
      <w:sz w:val="28"/>
    </w:rPr>
  </w:style>
  <w:style w:type="character" w:styleId="723">
    <w:name w:val="Основной шрифт абзаца"/>
    <w:next w:val="723"/>
    <w:link w:val="715"/>
    <w:uiPriority w:val="1"/>
    <w:unhideWhenUsed/>
  </w:style>
  <w:style w:type="table" w:styleId="724">
    <w:name w:val="Обычная таблица"/>
    <w:next w:val="724"/>
    <w:link w:val="715"/>
    <w:uiPriority w:val="99"/>
    <w:semiHidden/>
    <w:unhideWhenUsed/>
    <w:qFormat/>
    <w:tblPr/>
  </w:style>
  <w:style w:type="numbering" w:styleId="725">
    <w:name w:val="Нет списка"/>
    <w:next w:val="725"/>
    <w:link w:val="715"/>
    <w:uiPriority w:val="99"/>
    <w:semiHidden/>
    <w:unhideWhenUsed/>
  </w:style>
  <w:style w:type="paragraph" w:styleId="726">
    <w:name w:val="Верхний колонтитул"/>
    <w:basedOn w:val="715"/>
    <w:next w:val="726"/>
    <w:link w:val="756"/>
    <w:uiPriority w:val="99"/>
    <w:pPr>
      <w:tabs>
        <w:tab w:val="center" w:pos="4153" w:leader="none"/>
        <w:tab w:val="right" w:pos="8306" w:leader="none"/>
      </w:tabs>
    </w:pPr>
  </w:style>
  <w:style w:type="character" w:styleId="727">
    <w:name w:val="Номер страницы"/>
    <w:basedOn w:val="723"/>
    <w:next w:val="727"/>
    <w:link w:val="715"/>
  </w:style>
  <w:style w:type="paragraph" w:styleId="728">
    <w:name w:val="Список"/>
    <w:basedOn w:val="715"/>
    <w:next w:val="728"/>
    <w:link w:val="715"/>
    <w:pPr>
      <w:ind w:left="283" w:hanging="283"/>
    </w:pPr>
  </w:style>
  <w:style w:type="paragraph" w:styleId="729">
    <w:name w:val="Нижний колонтитул"/>
    <w:basedOn w:val="715"/>
    <w:next w:val="729"/>
    <w:link w:val="747"/>
    <w:uiPriority w:val="99"/>
    <w:pPr>
      <w:tabs>
        <w:tab w:val="center" w:pos="4153" w:leader="none"/>
        <w:tab w:val="right" w:pos="8306" w:leader="none"/>
      </w:tabs>
    </w:pPr>
  </w:style>
  <w:style w:type="paragraph" w:styleId="730">
    <w:name w:val="Название"/>
    <w:basedOn w:val="715"/>
    <w:next w:val="730"/>
    <w:link w:val="751"/>
    <w:qFormat/>
    <w:pPr>
      <w:jc w:val="center"/>
    </w:pPr>
    <w:rPr>
      <w:b/>
    </w:rPr>
  </w:style>
  <w:style w:type="paragraph" w:styleId="731">
    <w:name w:val="Основной текст"/>
    <w:basedOn w:val="715"/>
    <w:next w:val="731"/>
    <w:link w:val="715"/>
    <w:pPr>
      <w:jc w:val="both"/>
    </w:pPr>
  </w:style>
  <w:style w:type="paragraph" w:styleId="732">
    <w:name w:val="Основной текст 2"/>
    <w:basedOn w:val="715"/>
    <w:next w:val="732"/>
    <w:link w:val="715"/>
    <w:pPr>
      <w:ind w:right="-249"/>
      <w:jc w:val="both"/>
    </w:pPr>
    <w:rPr>
      <w:sz w:val="28"/>
    </w:rPr>
  </w:style>
  <w:style w:type="paragraph" w:styleId="733">
    <w:name w:val="Основной текст 3"/>
    <w:basedOn w:val="715"/>
    <w:next w:val="733"/>
    <w:link w:val="715"/>
    <w:pPr>
      <w:ind w:right="-248"/>
      <w:jc w:val="both"/>
    </w:pPr>
    <w:rPr>
      <w:sz w:val="28"/>
    </w:rPr>
  </w:style>
  <w:style w:type="paragraph" w:styleId="734">
    <w:name w:val="Цитата"/>
    <w:basedOn w:val="715"/>
    <w:next w:val="734"/>
    <w:link w:val="715"/>
    <w:pPr>
      <w:ind w:left="-249" w:right="-391" w:firstLine="249"/>
      <w:jc w:val="both"/>
    </w:pPr>
    <w:rPr>
      <w:sz w:val="28"/>
    </w:rPr>
  </w:style>
  <w:style w:type="paragraph" w:styleId="735">
    <w:name w:val="Основной текст с отступом"/>
    <w:basedOn w:val="715"/>
    <w:next w:val="735"/>
    <w:link w:val="715"/>
    <w:pPr>
      <w:ind w:left="283"/>
      <w:spacing w:after="120"/>
    </w:pPr>
  </w:style>
  <w:style w:type="paragraph" w:styleId="736">
    <w:name w:val="Текст выноски"/>
    <w:basedOn w:val="715"/>
    <w:next w:val="736"/>
    <w:link w:val="765"/>
    <w:uiPriority w:val="99"/>
    <w:semiHidden/>
    <w:rPr>
      <w:rFonts w:ascii="Tahoma" w:hAnsi="Tahoma" w:cs="Tahoma"/>
      <w:sz w:val="16"/>
      <w:szCs w:val="16"/>
    </w:rPr>
  </w:style>
  <w:style w:type="character" w:styleId="737">
    <w:name w:val="Гиперссылка"/>
    <w:next w:val="737"/>
    <w:link w:val="715"/>
    <w:rPr>
      <w:color w:val="0000ff"/>
      <w:u w:val="single"/>
    </w:rPr>
  </w:style>
  <w:style w:type="paragraph" w:styleId="738">
    <w:name w:val="ConsPlusNormal"/>
    <w:next w:val="738"/>
    <w:link w:val="715"/>
    <w:pPr>
      <w:ind w:firstLine="720"/>
    </w:pPr>
    <w:rPr>
      <w:rFonts w:ascii="Arial" w:hAnsi="Arial" w:cs="Arial"/>
      <w:lang w:val="ru-RU" w:eastAsia="ru-RU" w:bidi="ar-SA"/>
    </w:rPr>
  </w:style>
  <w:style w:type="paragraph" w:styleId="739">
    <w:name w:val="ConsPlusNonformat"/>
    <w:next w:val="739"/>
    <w:link w:val="71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40">
    <w:name w:val="ConsPlusTitle"/>
    <w:next w:val="740"/>
    <w:link w:val="715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741">
    <w:name w:val="ConsPlusCell"/>
    <w:next w:val="741"/>
    <w:link w:val="71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742">
    <w:name w:val="ConsPlusDocList"/>
    <w:next w:val="742"/>
    <w:link w:val="71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43">
    <w:name w:val="Стандартный HTML"/>
    <w:basedOn w:val="715"/>
    <w:next w:val="743"/>
    <w:link w:val="744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744">
    <w:name w:val="Стандартный HTML Знак"/>
    <w:next w:val="744"/>
    <w:link w:val="743"/>
    <w:uiPriority w:val="99"/>
    <w:rPr>
      <w:rFonts w:ascii="Courier New" w:hAnsi="Courier New" w:cs="Courier New"/>
    </w:rPr>
  </w:style>
  <w:style w:type="paragraph" w:styleId="745">
    <w:name w:val="Обычный1"/>
    <w:next w:val="745"/>
    <w:link w:val="715"/>
    <w:rPr>
      <w:lang w:val="ru-RU" w:eastAsia="ru-RU" w:bidi="ar-SA"/>
    </w:rPr>
  </w:style>
  <w:style w:type="character" w:styleId="746">
    <w:name w:val="Строгий"/>
    <w:next w:val="746"/>
    <w:link w:val="715"/>
    <w:uiPriority w:val="22"/>
    <w:qFormat/>
    <w:rPr>
      <w:b/>
      <w:bCs/>
    </w:rPr>
  </w:style>
  <w:style w:type="character" w:styleId="747">
    <w:name w:val="Нижний колонтитул Знак"/>
    <w:next w:val="747"/>
    <w:link w:val="729"/>
    <w:uiPriority w:val="99"/>
    <w:rPr>
      <w:sz w:val="24"/>
    </w:rPr>
  </w:style>
  <w:style w:type="character" w:styleId="748">
    <w:name w:val="Заголовок 1 Знак"/>
    <w:next w:val="748"/>
    <w:link w:val="716"/>
    <w:uiPriority w:val="9"/>
    <w:rPr>
      <w:b/>
      <w:sz w:val="24"/>
    </w:rPr>
  </w:style>
  <w:style w:type="character" w:styleId="749">
    <w:name w:val="Font Style23"/>
    <w:next w:val="749"/>
    <w:link w:val="715"/>
    <w:uiPriority w:val="99"/>
    <w:rPr>
      <w:rFonts w:ascii="Times New Roman" w:hAnsi="Times New Roman" w:cs="Times New Roman"/>
      <w:sz w:val="28"/>
      <w:szCs w:val="28"/>
    </w:rPr>
  </w:style>
  <w:style w:type="paragraph" w:styleId="750">
    <w:name w:val="Style11"/>
    <w:basedOn w:val="715"/>
    <w:next w:val="750"/>
    <w:link w:val="715"/>
    <w:uiPriority w:val="99"/>
    <w:pPr>
      <w:ind w:firstLine="1320"/>
      <w:jc w:val="both"/>
      <w:spacing w:line="348" w:lineRule="exact"/>
      <w:widowControl w:val="off"/>
    </w:pPr>
    <w:rPr>
      <w:szCs w:val="24"/>
    </w:rPr>
  </w:style>
  <w:style w:type="character" w:styleId="751">
    <w:name w:val="Название Знак"/>
    <w:next w:val="751"/>
    <w:link w:val="730"/>
    <w:rPr>
      <w:b/>
      <w:sz w:val="24"/>
    </w:rPr>
  </w:style>
  <w:style w:type="table" w:styleId="752">
    <w:name w:val="Сетка таблицы"/>
    <w:basedOn w:val="724"/>
    <w:next w:val="752"/>
    <w:link w:val="715"/>
    <w:uiPriority w:val="59"/>
    <w:tblPr/>
  </w:style>
  <w:style w:type="paragraph" w:styleId="753">
    <w:name w:val="Standard"/>
    <w:next w:val="753"/>
    <w:link w:val="715"/>
    <w:uiPriority w:val="99"/>
    <w:rPr>
      <w:sz w:val="24"/>
      <w:lang w:val="ru-RU" w:eastAsia="zh-CN" w:bidi="ar-SA"/>
    </w:rPr>
  </w:style>
  <w:style w:type="paragraph" w:styleId="754">
    <w:name w:val="Heading 1"/>
    <w:basedOn w:val="753"/>
    <w:next w:val="753"/>
    <w:link w:val="715"/>
    <w:pPr>
      <w:jc w:val="both"/>
      <w:keepNext/>
      <w:outlineLvl w:val="0"/>
    </w:pPr>
    <w:rPr>
      <w:b/>
    </w:rPr>
  </w:style>
  <w:style w:type="character" w:styleId="755">
    <w:name w:val="Font Style12"/>
    <w:next w:val="755"/>
    <w:link w:val="715"/>
    <w:uiPriority w:val="99"/>
    <w:rPr>
      <w:rFonts w:ascii="Times New Roman" w:hAnsi="Times New Roman" w:cs="Times New Roman"/>
      <w:sz w:val="22"/>
      <w:szCs w:val="22"/>
    </w:rPr>
  </w:style>
  <w:style w:type="character" w:styleId="756">
    <w:name w:val="Верхний колонтитул Знак"/>
    <w:next w:val="756"/>
    <w:link w:val="726"/>
    <w:uiPriority w:val="99"/>
    <w:rPr>
      <w:sz w:val="24"/>
    </w:rPr>
  </w:style>
  <w:style w:type="paragraph" w:styleId="757">
    <w:name w:val="Содержимое таблицы"/>
    <w:basedOn w:val="715"/>
    <w:next w:val="757"/>
    <w:link w:val="715"/>
    <w:pPr>
      <w:widowControl w:val="off"/>
      <w:suppressLineNumbers/>
    </w:pPr>
    <w:rPr>
      <w:rFonts w:eastAsia="Andale Sans UI"/>
      <w:szCs w:val="24"/>
      <w:lang w:val="en-US" w:eastAsia="en-US"/>
    </w:rPr>
  </w:style>
  <w:style w:type="paragraph" w:styleId="758">
    <w:name w:val="Без интервала"/>
    <w:next w:val="758"/>
    <w:link w:val="715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759">
    <w:name w:val="Текст концевой сноски"/>
    <w:basedOn w:val="715"/>
    <w:next w:val="759"/>
    <w:link w:val="760"/>
    <w:uiPriority w:val="99"/>
    <w:semiHidden/>
    <w:unhideWhenUsed/>
    <w:rPr>
      <w:sz w:val="20"/>
    </w:rPr>
  </w:style>
  <w:style w:type="character" w:styleId="760">
    <w:name w:val="Текст концевой сноски Знак"/>
    <w:basedOn w:val="723"/>
    <w:next w:val="760"/>
    <w:link w:val="759"/>
    <w:uiPriority w:val="99"/>
    <w:semiHidden/>
  </w:style>
  <w:style w:type="character" w:styleId="761">
    <w:name w:val="Знак концевой сноски"/>
    <w:next w:val="761"/>
    <w:link w:val="715"/>
    <w:uiPriority w:val="99"/>
    <w:semiHidden/>
    <w:unhideWhenUsed/>
    <w:rPr>
      <w:vertAlign w:val="superscript"/>
    </w:rPr>
  </w:style>
  <w:style w:type="paragraph" w:styleId="762">
    <w:name w:val="Текст сноски"/>
    <w:basedOn w:val="715"/>
    <w:next w:val="762"/>
    <w:link w:val="763"/>
    <w:uiPriority w:val="99"/>
    <w:semiHidden/>
    <w:unhideWhenUsed/>
    <w:rPr>
      <w:sz w:val="20"/>
    </w:rPr>
  </w:style>
  <w:style w:type="character" w:styleId="763">
    <w:name w:val="Текст сноски Знак"/>
    <w:basedOn w:val="723"/>
    <w:next w:val="763"/>
    <w:link w:val="762"/>
    <w:uiPriority w:val="99"/>
    <w:semiHidden/>
  </w:style>
  <w:style w:type="character" w:styleId="764">
    <w:name w:val="Знак сноски"/>
    <w:next w:val="764"/>
    <w:link w:val="715"/>
    <w:uiPriority w:val="99"/>
    <w:semiHidden/>
    <w:unhideWhenUsed/>
    <w:rPr>
      <w:vertAlign w:val="superscript"/>
    </w:rPr>
  </w:style>
  <w:style w:type="character" w:styleId="765">
    <w:name w:val="Текст выноски Знак"/>
    <w:next w:val="765"/>
    <w:link w:val="736"/>
    <w:uiPriority w:val="99"/>
    <w:semiHidden/>
    <w:rPr>
      <w:rFonts w:ascii="Tahoma" w:hAnsi="Tahoma" w:cs="Tahoma"/>
      <w:sz w:val="16"/>
      <w:szCs w:val="16"/>
    </w:rPr>
  </w:style>
  <w:style w:type="paragraph" w:styleId="766">
    <w:name w:val="Абзац списка"/>
    <w:basedOn w:val="715"/>
    <w:next w:val="766"/>
    <w:link w:val="715"/>
    <w:uiPriority w:val="34"/>
    <w:qFormat/>
    <w:pPr>
      <w:contextualSpacing/>
      <w:ind w:left="720"/>
      <w:jc w:val="both"/>
    </w:pPr>
    <w:rPr>
      <w:rFonts w:ascii="Calibri" w:hAnsi="Calibri" w:eastAsia="Calibri"/>
      <w:sz w:val="22"/>
      <w:szCs w:val="22"/>
      <w:lang w:val="en-US" w:eastAsia="en-US" w:bidi="en-US"/>
    </w:rPr>
  </w:style>
  <w:style w:type="paragraph" w:styleId="767">
    <w:name w:val="Normal1"/>
    <w:next w:val="767"/>
    <w:link w:val="715"/>
    <w:rPr>
      <w:lang w:val="ru-RU" w:eastAsia="ru-RU" w:bidi="ar-SA"/>
    </w:rPr>
  </w:style>
  <w:style w:type="paragraph" w:styleId="768">
    <w:name w:val="Обычный (веб)"/>
    <w:basedOn w:val="715"/>
    <w:next w:val="768"/>
    <w:link w:val="715"/>
    <w:uiPriority w:val="99"/>
    <w:semiHidden/>
    <w:unhideWhenUsed/>
    <w:pPr>
      <w:spacing w:after="150"/>
    </w:pPr>
    <w:rPr>
      <w:szCs w:val="24"/>
    </w:rPr>
  </w:style>
  <w:style w:type="character" w:styleId="769">
    <w:name w:val="Основной текст + 9,5 pt"/>
    <w:next w:val="769"/>
    <w:link w:val="715"/>
    <w:uiPriority w:val="99"/>
    <w:rPr>
      <w:rFonts w:ascii="Arial Unicode MS" w:eastAsia="Arial Unicode MS" w:cs="Arial Unicode MS"/>
      <w:sz w:val="19"/>
      <w:szCs w:val="19"/>
      <w:u w:val="none"/>
    </w:rPr>
  </w:style>
  <w:style w:type="paragraph" w:styleId="770">
    <w:name w:val="UserStyle_22"/>
    <w:basedOn w:val="715"/>
    <w:next w:val="730"/>
    <w:link w:val="715"/>
    <w:qFormat/>
    <w:pPr>
      <w:jc w:val="center"/>
    </w:pPr>
    <w:rPr>
      <w:b/>
    </w:rPr>
  </w:style>
  <w:style w:type="paragraph" w:styleId="771">
    <w:name w:val="Default"/>
    <w:next w:val="771"/>
    <w:link w:val="715"/>
    <w:rPr>
      <w:color w:val="000000"/>
      <w:sz w:val="24"/>
      <w:szCs w:val="24"/>
      <w:lang w:val="ru-RU" w:eastAsia="ru-RU" w:bidi="ar-SA"/>
    </w:rPr>
  </w:style>
  <w:style w:type="paragraph" w:styleId="772">
    <w:name w:val="Текст примечания"/>
    <w:basedOn w:val="715"/>
    <w:next w:val="772"/>
    <w:link w:val="773"/>
    <w:uiPriority w:val="99"/>
    <w:unhideWhenUsed/>
    <w:rPr>
      <w:sz w:val="20"/>
    </w:rPr>
  </w:style>
  <w:style w:type="character" w:styleId="773">
    <w:name w:val="Текст примечания Знак"/>
    <w:basedOn w:val="723"/>
    <w:next w:val="773"/>
    <w:link w:val="772"/>
    <w:uiPriority w:val="99"/>
  </w:style>
  <w:style w:type="character" w:styleId="2564" w:default="1">
    <w:name w:val="Default Paragraph Font"/>
    <w:uiPriority w:val="1"/>
    <w:semiHidden/>
    <w:unhideWhenUsed/>
  </w:style>
  <w:style w:type="numbering" w:styleId="2565" w:default="1">
    <w:name w:val="No List"/>
    <w:uiPriority w:val="99"/>
    <w:semiHidden/>
    <w:unhideWhenUsed/>
  </w:style>
  <w:style w:type="table" w:styleId="25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FGDSZN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23-03б</dc:title>
  <dc:creator>kanc2</dc:creator>
  <cp:revision>7</cp:revision>
  <dcterms:created xsi:type="dcterms:W3CDTF">2021-02-16T13:49:00Z</dcterms:created>
  <dcterms:modified xsi:type="dcterms:W3CDTF">2023-09-27T02:55:24Z</dcterms:modified>
  <cp:version>917504</cp:version>
</cp:coreProperties>
</file>